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D29FD" w14:textId="032DD677" w:rsidR="002762DF" w:rsidRDefault="002762DF" w:rsidP="002762DF">
      <w:pPr>
        <w:pStyle w:val="Heading1"/>
      </w:pPr>
      <w:r>
        <w:t>Syllabus</w:t>
      </w:r>
      <w:r>
        <w:t xml:space="preserve"> - </w:t>
      </w:r>
      <w:r>
        <w:t>EDTL: 4190/4191 Elementary Student Teaching</w:t>
      </w:r>
    </w:p>
    <w:p w14:paraId="15E3DA01" w14:textId="38A3DE33" w:rsidR="002762DF" w:rsidRDefault="002762DF" w:rsidP="002762DF">
      <w:r>
        <w:t>Instructor: Julie J Heidger</w:t>
      </w:r>
      <w:r>
        <w:br/>
      </w:r>
      <w:hyperlink r:id="rId5" w:history="1">
        <w:r w:rsidRPr="001975E2">
          <w:rPr>
            <w:rStyle w:val="Hyperlink"/>
          </w:rPr>
          <w:t>julie-heidger@uiowa.edu</w:t>
        </w:r>
      </w:hyperlink>
      <w:r>
        <w:br/>
      </w:r>
      <w:r>
        <w:t>Course site: See ICON EDTL: 4190 &amp; 4191</w:t>
      </w:r>
    </w:p>
    <w:p w14:paraId="612F11AF" w14:textId="77777777" w:rsidR="002762DF" w:rsidRDefault="002762DF" w:rsidP="002762DF">
      <w:pPr>
        <w:pStyle w:val="Heading2"/>
      </w:pPr>
      <w:r>
        <w:t>Course Description</w:t>
      </w:r>
    </w:p>
    <w:p w14:paraId="65C63EB0" w14:textId="77777777" w:rsidR="002762DF" w:rsidRDefault="002762DF" w:rsidP="002762DF">
      <w:r>
        <w:t>These courses for student teaching registration reflect the culminating experience of the Elementary Teacher Education Program. Student Teachers are placed in a classroom with an experienced cooperating teacher for a full-day assignment lasting between eight and sixteen weeks (length of placement depends on the licensure the student is seeking). During this experience, a University Supervisor works with the student teacher and Cooperating Teacher to facilitate a successful experience. During a sixteen-week experience, Student Teachers are expected to have full teaching responsibility for a minimum of two weeks.</w:t>
      </w:r>
    </w:p>
    <w:p w14:paraId="015FD729" w14:textId="77777777" w:rsidR="002762DF" w:rsidRDefault="002762DF" w:rsidP="002762DF">
      <w:pPr>
        <w:pStyle w:val="Heading2"/>
      </w:pPr>
      <w:r>
        <w:t>Required Readings</w:t>
      </w:r>
    </w:p>
    <w:p w14:paraId="54CDDE9D" w14:textId="77777777" w:rsidR="002762DF" w:rsidRDefault="002762DF" w:rsidP="002762DF">
      <w:r w:rsidRPr="002762DF">
        <w:rPr>
          <w:highlight w:val="yellow"/>
        </w:rPr>
        <w:t>Student Teaching Handbook should be downloaded from the web at: https://education.uiowa.edu/beateacher/student-teaching-and-classroom-experience/student-teaching-requirements#accordion-item-30356-0</w:t>
      </w:r>
    </w:p>
    <w:p w14:paraId="14E63D38" w14:textId="77777777" w:rsidR="002762DF" w:rsidRDefault="002762DF" w:rsidP="002762DF">
      <w:pPr>
        <w:pStyle w:val="Heading2"/>
      </w:pPr>
      <w:proofErr w:type="spellStart"/>
      <w:r>
        <w:t>InTASC</w:t>
      </w:r>
      <w:proofErr w:type="spellEnd"/>
      <w:r>
        <w:t xml:space="preserve"> and Iowa Teaching Standards</w:t>
      </w:r>
    </w:p>
    <w:p w14:paraId="78D2582F" w14:textId="491391C7" w:rsidR="002762DF" w:rsidRDefault="002762DF" w:rsidP="002762DF">
      <w:r>
        <w:t xml:space="preserve">The evaluation used for Student Teaching aligns with the </w:t>
      </w:r>
      <w:proofErr w:type="spellStart"/>
      <w:r>
        <w:t>InTASC</w:t>
      </w:r>
      <w:proofErr w:type="spellEnd"/>
      <w:r>
        <w:t xml:space="preserve"> (Interstate Teacher Assessment and Support Consortium) Standards. These represent standards used to evaluate pre-service teachers. They are: The Learner and Learning (1. Learner Development 2. Learning Differences 3. Learning Environments). Content Knowledge (4. Content Knowledge 5. Application of Content). Instructional Practice (6. Assessment 7. Planning for Instruction 8. Instructional Strategies) and Professional Responsibility (9. Professional Learning and Ethical Practice 10.</w:t>
      </w:r>
      <w:r>
        <w:t xml:space="preserve"> </w:t>
      </w:r>
      <w:r>
        <w:t>Leadership and Collaboration).</w:t>
      </w:r>
    </w:p>
    <w:p w14:paraId="635702EA" w14:textId="4EE651A5" w:rsidR="00AE0541" w:rsidRDefault="002762DF" w:rsidP="002762DF">
      <w:r>
        <w:t>Students will also need to be familiar with Iowa’s Teaching Standards when lesson planning and as they transition from a pre-service to a licensed teacher. The (abbreviated) Iowa Teaching Standards are: 1. Supports Student Achievement 2. Content Knowledge 3. Planning and Preparation 4. Instructional Strategies 5. Monitor Learning 6. Classroom Management 7.</w:t>
      </w:r>
      <w:r>
        <w:t xml:space="preserve"> </w:t>
      </w:r>
      <w:r>
        <w:t>Professional Growth 8. Professional Responsibilities</w:t>
      </w:r>
    </w:p>
    <w:p w14:paraId="2DDA5B10" w14:textId="77777777" w:rsidR="002762DF" w:rsidRDefault="002762DF" w:rsidP="002762DF">
      <w:pPr>
        <w:pStyle w:val="Heading2"/>
      </w:pPr>
      <w:r>
        <w:t>Expectations</w:t>
      </w:r>
    </w:p>
    <w:p w14:paraId="2CE441C4" w14:textId="77777777" w:rsidR="002762DF" w:rsidRPr="002762DF" w:rsidRDefault="002762DF" w:rsidP="002762DF">
      <w:pPr>
        <w:widowControl w:val="0"/>
        <w:numPr>
          <w:ilvl w:val="0"/>
          <w:numId w:val="1"/>
        </w:numPr>
        <w:tabs>
          <w:tab w:val="left" w:pos="731"/>
        </w:tabs>
        <w:autoSpaceDE w:val="0"/>
        <w:autoSpaceDN w:val="0"/>
        <w:spacing w:before="74" w:after="0" w:line="240" w:lineRule="auto"/>
        <w:ind w:left="731" w:right="947"/>
        <w:rPr>
          <w:rFonts w:ascii="Arial" w:hAnsi="Arial" w:cs="Arial"/>
        </w:rPr>
      </w:pPr>
      <w:r w:rsidRPr="002762DF">
        <w:rPr>
          <w:rFonts w:ascii="Arial" w:hAnsi="Arial" w:cs="Arial"/>
        </w:rPr>
        <w:t>Follow</w:t>
      </w:r>
      <w:r w:rsidRPr="002762DF">
        <w:rPr>
          <w:rFonts w:ascii="Arial" w:hAnsi="Arial" w:cs="Arial"/>
          <w:spacing w:val="-21"/>
        </w:rPr>
        <w:t xml:space="preserve"> </w:t>
      </w:r>
      <w:r w:rsidRPr="002762DF">
        <w:rPr>
          <w:rFonts w:ascii="Arial" w:hAnsi="Arial" w:cs="Arial"/>
        </w:rPr>
        <w:t>the</w:t>
      </w:r>
      <w:r w:rsidRPr="002762DF">
        <w:rPr>
          <w:rFonts w:ascii="Arial" w:hAnsi="Arial" w:cs="Arial"/>
          <w:spacing w:val="-16"/>
        </w:rPr>
        <w:t xml:space="preserve"> </w:t>
      </w:r>
      <w:r w:rsidRPr="002762DF">
        <w:rPr>
          <w:rFonts w:ascii="Arial" w:hAnsi="Arial" w:cs="Arial"/>
        </w:rPr>
        <w:t>expectations</w:t>
      </w:r>
      <w:r w:rsidRPr="002762DF">
        <w:rPr>
          <w:rFonts w:ascii="Arial" w:hAnsi="Arial" w:cs="Arial"/>
          <w:spacing w:val="-18"/>
        </w:rPr>
        <w:t xml:space="preserve"> </w:t>
      </w:r>
      <w:r w:rsidRPr="002762DF">
        <w:rPr>
          <w:rFonts w:ascii="Arial" w:hAnsi="Arial" w:cs="Arial"/>
        </w:rPr>
        <w:t>outlined</w:t>
      </w:r>
      <w:r w:rsidRPr="002762DF">
        <w:rPr>
          <w:rFonts w:ascii="Arial" w:hAnsi="Arial" w:cs="Arial"/>
          <w:spacing w:val="-16"/>
        </w:rPr>
        <w:t xml:space="preserve"> </w:t>
      </w:r>
      <w:r w:rsidRPr="002762DF">
        <w:rPr>
          <w:rFonts w:ascii="Arial" w:hAnsi="Arial" w:cs="Arial"/>
        </w:rPr>
        <w:t>in</w:t>
      </w:r>
      <w:r w:rsidRPr="002762DF">
        <w:rPr>
          <w:rFonts w:ascii="Arial" w:hAnsi="Arial" w:cs="Arial"/>
          <w:spacing w:val="-16"/>
        </w:rPr>
        <w:t xml:space="preserve"> </w:t>
      </w:r>
      <w:r w:rsidRPr="002762DF">
        <w:rPr>
          <w:rFonts w:ascii="Arial" w:hAnsi="Arial" w:cs="Arial"/>
        </w:rPr>
        <w:t>The</w:t>
      </w:r>
      <w:r w:rsidRPr="002762DF">
        <w:rPr>
          <w:rFonts w:ascii="Arial" w:hAnsi="Arial" w:cs="Arial"/>
          <w:spacing w:val="-16"/>
        </w:rPr>
        <w:t xml:space="preserve"> </w:t>
      </w:r>
      <w:r w:rsidRPr="002762DF">
        <w:rPr>
          <w:rFonts w:ascii="Arial" w:hAnsi="Arial" w:cs="Arial"/>
        </w:rPr>
        <w:t>Student</w:t>
      </w:r>
      <w:r w:rsidRPr="002762DF">
        <w:rPr>
          <w:rFonts w:ascii="Arial" w:hAnsi="Arial" w:cs="Arial"/>
          <w:spacing w:val="-16"/>
        </w:rPr>
        <w:t xml:space="preserve"> </w:t>
      </w:r>
      <w:r w:rsidRPr="002762DF">
        <w:rPr>
          <w:rFonts w:ascii="Arial" w:hAnsi="Arial" w:cs="Arial"/>
        </w:rPr>
        <w:t>Teaching</w:t>
      </w:r>
      <w:r w:rsidRPr="002762DF">
        <w:rPr>
          <w:rFonts w:ascii="Arial" w:hAnsi="Arial" w:cs="Arial"/>
          <w:spacing w:val="-15"/>
        </w:rPr>
        <w:t xml:space="preserve"> </w:t>
      </w:r>
      <w:r w:rsidRPr="002762DF">
        <w:rPr>
          <w:rFonts w:ascii="Arial" w:hAnsi="Arial" w:cs="Arial"/>
        </w:rPr>
        <w:t>Handbook</w:t>
      </w:r>
      <w:r w:rsidRPr="002762DF">
        <w:rPr>
          <w:rFonts w:ascii="Arial" w:hAnsi="Arial" w:cs="Arial"/>
          <w:spacing w:val="-17"/>
        </w:rPr>
        <w:t>.</w:t>
      </w:r>
    </w:p>
    <w:p w14:paraId="4BBBC495" w14:textId="77777777" w:rsidR="002762DF" w:rsidRPr="002762DF" w:rsidRDefault="002762DF" w:rsidP="002762DF">
      <w:pPr>
        <w:widowControl w:val="0"/>
        <w:numPr>
          <w:ilvl w:val="0"/>
          <w:numId w:val="1"/>
        </w:numPr>
        <w:tabs>
          <w:tab w:val="left" w:pos="734"/>
        </w:tabs>
        <w:autoSpaceDE w:val="0"/>
        <w:autoSpaceDN w:val="0"/>
        <w:spacing w:before="69" w:after="0" w:line="240" w:lineRule="auto"/>
        <w:ind w:left="734" w:hanging="365"/>
        <w:rPr>
          <w:rFonts w:ascii="Arial" w:hAnsi="Arial" w:cs="Arial"/>
        </w:rPr>
      </w:pPr>
      <w:r w:rsidRPr="002762DF">
        <w:rPr>
          <w:rFonts w:ascii="Arial" w:hAnsi="Arial" w:cs="Arial"/>
        </w:rPr>
        <w:t>Follow</w:t>
      </w:r>
      <w:r w:rsidRPr="002762DF">
        <w:rPr>
          <w:rFonts w:ascii="Arial" w:hAnsi="Arial" w:cs="Arial"/>
          <w:spacing w:val="-6"/>
        </w:rPr>
        <w:t xml:space="preserve"> </w:t>
      </w:r>
      <w:r w:rsidRPr="002762DF">
        <w:rPr>
          <w:rFonts w:ascii="Arial" w:hAnsi="Arial" w:cs="Arial"/>
        </w:rPr>
        <w:t>assignments</w:t>
      </w:r>
      <w:r w:rsidRPr="002762DF">
        <w:rPr>
          <w:rFonts w:ascii="Arial" w:hAnsi="Arial" w:cs="Arial"/>
          <w:spacing w:val="-2"/>
        </w:rPr>
        <w:t xml:space="preserve"> </w:t>
      </w:r>
      <w:r w:rsidRPr="002762DF">
        <w:rPr>
          <w:rFonts w:ascii="Arial" w:hAnsi="Arial" w:cs="Arial"/>
        </w:rPr>
        <w:t>and</w:t>
      </w:r>
      <w:r w:rsidRPr="002762DF">
        <w:rPr>
          <w:rFonts w:ascii="Arial" w:hAnsi="Arial" w:cs="Arial"/>
          <w:spacing w:val="-3"/>
        </w:rPr>
        <w:t xml:space="preserve"> </w:t>
      </w:r>
      <w:r w:rsidRPr="002762DF">
        <w:rPr>
          <w:rFonts w:ascii="Arial" w:hAnsi="Arial" w:cs="Arial"/>
        </w:rPr>
        <w:t>expectations</w:t>
      </w:r>
      <w:r w:rsidRPr="002762DF">
        <w:rPr>
          <w:rFonts w:ascii="Arial" w:hAnsi="Arial" w:cs="Arial"/>
          <w:spacing w:val="-2"/>
        </w:rPr>
        <w:t xml:space="preserve"> </w:t>
      </w:r>
      <w:r w:rsidRPr="002762DF">
        <w:rPr>
          <w:rFonts w:ascii="Arial" w:hAnsi="Arial" w:cs="Arial"/>
        </w:rPr>
        <w:t>put</w:t>
      </w:r>
      <w:r w:rsidRPr="002762DF">
        <w:rPr>
          <w:rFonts w:ascii="Arial" w:hAnsi="Arial" w:cs="Arial"/>
          <w:spacing w:val="-2"/>
        </w:rPr>
        <w:t xml:space="preserve"> </w:t>
      </w:r>
      <w:r w:rsidRPr="002762DF">
        <w:rPr>
          <w:rFonts w:ascii="Arial" w:hAnsi="Arial" w:cs="Arial"/>
        </w:rPr>
        <w:t>forth</w:t>
      </w:r>
      <w:r w:rsidRPr="002762DF">
        <w:rPr>
          <w:rFonts w:ascii="Arial" w:hAnsi="Arial" w:cs="Arial"/>
          <w:spacing w:val="-1"/>
        </w:rPr>
        <w:t xml:space="preserve"> </w:t>
      </w:r>
      <w:r w:rsidRPr="002762DF">
        <w:rPr>
          <w:rFonts w:ascii="Arial" w:hAnsi="Arial" w:cs="Arial"/>
        </w:rPr>
        <w:t>by</w:t>
      </w:r>
      <w:r w:rsidRPr="002762DF">
        <w:rPr>
          <w:rFonts w:ascii="Arial" w:hAnsi="Arial" w:cs="Arial"/>
          <w:spacing w:val="-3"/>
        </w:rPr>
        <w:t xml:space="preserve"> </w:t>
      </w:r>
      <w:r w:rsidRPr="002762DF">
        <w:rPr>
          <w:rFonts w:ascii="Arial" w:hAnsi="Arial" w:cs="Arial"/>
          <w:spacing w:val="-2"/>
        </w:rPr>
        <w:t>the College Supervisor.</w:t>
      </w:r>
    </w:p>
    <w:p w14:paraId="7D7173CC" w14:textId="77777777" w:rsidR="002762DF" w:rsidRPr="002762DF" w:rsidRDefault="002762DF" w:rsidP="002762DF">
      <w:pPr>
        <w:widowControl w:val="0"/>
        <w:numPr>
          <w:ilvl w:val="0"/>
          <w:numId w:val="1"/>
        </w:numPr>
        <w:tabs>
          <w:tab w:val="left" w:pos="734"/>
        </w:tabs>
        <w:autoSpaceDE w:val="0"/>
        <w:autoSpaceDN w:val="0"/>
        <w:spacing w:before="69" w:after="0" w:line="240" w:lineRule="auto"/>
        <w:ind w:left="734" w:right="1"/>
        <w:jc w:val="both"/>
        <w:rPr>
          <w:rFonts w:ascii="Arial" w:hAnsi="Arial" w:cs="Arial"/>
        </w:rPr>
      </w:pPr>
      <w:r w:rsidRPr="002762DF">
        <w:rPr>
          <w:rFonts w:ascii="Arial" w:hAnsi="Arial" w:cs="Arial"/>
        </w:rPr>
        <w:t>Complete</w:t>
      </w:r>
      <w:r w:rsidRPr="002762DF">
        <w:rPr>
          <w:rFonts w:ascii="Arial" w:hAnsi="Arial" w:cs="Arial"/>
          <w:spacing w:val="-13"/>
        </w:rPr>
        <w:t xml:space="preserve"> </w:t>
      </w:r>
      <w:r w:rsidRPr="002762DF">
        <w:rPr>
          <w:rFonts w:ascii="Arial" w:hAnsi="Arial" w:cs="Arial"/>
        </w:rPr>
        <w:t>3,</w:t>
      </w:r>
      <w:r w:rsidRPr="002762DF">
        <w:rPr>
          <w:rFonts w:ascii="Arial" w:hAnsi="Arial" w:cs="Arial"/>
          <w:spacing w:val="-16"/>
        </w:rPr>
        <w:t xml:space="preserve"> </w:t>
      </w:r>
      <w:r w:rsidRPr="002762DF">
        <w:rPr>
          <w:rFonts w:ascii="Arial" w:hAnsi="Arial" w:cs="Arial"/>
        </w:rPr>
        <w:t>3-way</w:t>
      </w:r>
      <w:r w:rsidRPr="002762DF">
        <w:rPr>
          <w:rFonts w:ascii="Arial" w:hAnsi="Arial" w:cs="Arial"/>
          <w:spacing w:val="-10"/>
        </w:rPr>
        <w:t xml:space="preserve"> </w:t>
      </w:r>
      <w:r w:rsidRPr="002762DF">
        <w:rPr>
          <w:rFonts w:ascii="Arial" w:hAnsi="Arial" w:cs="Arial"/>
        </w:rPr>
        <w:t>collaborative</w:t>
      </w:r>
      <w:r w:rsidRPr="002762DF">
        <w:rPr>
          <w:rFonts w:ascii="Arial" w:hAnsi="Arial" w:cs="Arial"/>
          <w:spacing w:val="-14"/>
        </w:rPr>
        <w:t xml:space="preserve"> </w:t>
      </w:r>
      <w:r w:rsidRPr="002762DF">
        <w:rPr>
          <w:rFonts w:ascii="Arial" w:hAnsi="Arial" w:cs="Arial"/>
        </w:rPr>
        <w:t>meetings</w:t>
      </w:r>
      <w:r w:rsidRPr="002762DF">
        <w:rPr>
          <w:rFonts w:ascii="Arial" w:hAnsi="Arial" w:cs="Arial"/>
          <w:spacing w:val="-12"/>
        </w:rPr>
        <w:t xml:space="preserve"> </w:t>
      </w:r>
      <w:r w:rsidRPr="002762DF">
        <w:rPr>
          <w:rFonts w:ascii="Arial" w:hAnsi="Arial" w:cs="Arial"/>
        </w:rPr>
        <w:t>with</w:t>
      </w:r>
      <w:r w:rsidRPr="002762DF">
        <w:rPr>
          <w:rFonts w:ascii="Arial" w:hAnsi="Arial" w:cs="Arial"/>
          <w:spacing w:val="-10"/>
        </w:rPr>
        <w:t xml:space="preserve"> </w:t>
      </w:r>
      <w:r w:rsidRPr="002762DF">
        <w:rPr>
          <w:rFonts w:ascii="Arial" w:hAnsi="Arial" w:cs="Arial"/>
        </w:rPr>
        <w:t>the</w:t>
      </w:r>
      <w:r w:rsidRPr="002762DF">
        <w:rPr>
          <w:rFonts w:ascii="Arial" w:hAnsi="Arial" w:cs="Arial"/>
          <w:spacing w:val="-8"/>
        </w:rPr>
        <w:t xml:space="preserve"> </w:t>
      </w:r>
      <w:r w:rsidRPr="002762DF">
        <w:rPr>
          <w:rFonts w:ascii="Arial" w:hAnsi="Arial" w:cs="Arial"/>
        </w:rPr>
        <w:t>Cooperating</w:t>
      </w:r>
      <w:r w:rsidRPr="002762DF">
        <w:rPr>
          <w:rFonts w:ascii="Arial" w:hAnsi="Arial" w:cs="Arial"/>
          <w:spacing w:val="-11"/>
        </w:rPr>
        <w:t xml:space="preserve"> </w:t>
      </w:r>
      <w:r w:rsidRPr="002762DF">
        <w:rPr>
          <w:rFonts w:ascii="Arial" w:hAnsi="Arial" w:cs="Arial"/>
        </w:rPr>
        <w:t>Teacher,</w:t>
      </w:r>
      <w:r w:rsidRPr="002762DF">
        <w:rPr>
          <w:rFonts w:ascii="Arial" w:hAnsi="Arial" w:cs="Arial"/>
          <w:spacing w:val="-16"/>
        </w:rPr>
        <w:t xml:space="preserve"> </w:t>
      </w:r>
      <w:r w:rsidRPr="002762DF">
        <w:rPr>
          <w:rFonts w:ascii="Arial" w:hAnsi="Arial" w:cs="Arial"/>
        </w:rPr>
        <w:t>Student</w:t>
      </w:r>
      <w:r w:rsidRPr="002762DF">
        <w:rPr>
          <w:rFonts w:ascii="Arial" w:hAnsi="Arial" w:cs="Arial"/>
          <w:spacing w:val="-8"/>
        </w:rPr>
        <w:t xml:space="preserve"> </w:t>
      </w:r>
      <w:r w:rsidRPr="002762DF">
        <w:rPr>
          <w:rFonts w:ascii="Arial" w:hAnsi="Arial" w:cs="Arial"/>
        </w:rPr>
        <w:t>Teacher</w:t>
      </w:r>
      <w:r w:rsidRPr="002762DF">
        <w:rPr>
          <w:rFonts w:ascii="Arial" w:hAnsi="Arial" w:cs="Arial"/>
          <w:spacing w:val="-9"/>
        </w:rPr>
        <w:t xml:space="preserve"> </w:t>
      </w:r>
      <w:r w:rsidRPr="002762DF">
        <w:rPr>
          <w:rFonts w:ascii="Arial" w:hAnsi="Arial" w:cs="Arial"/>
        </w:rPr>
        <w:t>and College</w:t>
      </w:r>
      <w:r w:rsidRPr="002762DF">
        <w:rPr>
          <w:rFonts w:ascii="Arial" w:hAnsi="Arial" w:cs="Arial"/>
          <w:spacing w:val="-12"/>
        </w:rPr>
        <w:t xml:space="preserve"> </w:t>
      </w:r>
      <w:r w:rsidRPr="002762DF">
        <w:rPr>
          <w:rFonts w:ascii="Arial" w:hAnsi="Arial" w:cs="Arial"/>
        </w:rPr>
        <w:t>Supervisor:</w:t>
      </w:r>
      <w:r w:rsidRPr="002762DF">
        <w:rPr>
          <w:rFonts w:ascii="Arial" w:hAnsi="Arial" w:cs="Arial"/>
          <w:spacing w:val="-8"/>
        </w:rPr>
        <w:t xml:space="preserve"> </w:t>
      </w:r>
      <w:r w:rsidRPr="002762DF">
        <w:rPr>
          <w:rFonts w:ascii="Arial" w:hAnsi="Arial" w:cs="Arial"/>
        </w:rPr>
        <w:t>The</w:t>
      </w:r>
      <w:r w:rsidRPr="002762DF">
        <w:rPr>
          <w:rFonts w:ascii="Arial" w:hAnsi="Arial" w:cs="Arial"/>
          <w:spacing w:val="-7"/>
        </w:rPr>
        <w:t xml:space="preserve"> </w:t>
      </w:r>
      <w:r w:rsidRPr="002762DF">
        <w:rPr>
          <w:rFonts w:ascii="Arial" w:hAnsi="Arial" w:cs="Arial"/>
        </w:rPr>
        <w:t>Proposal,</w:t>
      </w:r>
      <w:r w:rsidRPr="002762DF">
        <w:rPr>
          <w:rFonts w:ascii="Arial" w:hAnsi="Arial" w:cs="Arial"/>
          <w:spacing w:val="-14"/>
        </w:rPr>
        <w:t xml:space="preserve"> </w:t>
      </w:r>
      <w:r w:rsidRPr="002762DF">
        <w:rPr>
          <w:rFonts w:ascii="Arial" w:hAnsi="Arial" w:cs="Arial"/>
        </w:rPr>
        <w:t>The</w:t>
      </w:r>
      <w:r w:rsidRPr="002762DF">
        <w:rPr>
          <w:rFonts w:ascii="Arial" w:hAnsi="Arial" w:cs="Arial"/>
          <w:spacing w:val="-10"/>
        </w:rPr>
        <w:t xml:space="preserve"> </w:t>
      </w:r>
      <w:r w:rsidRPr="002762DF">
        <w:rPr>
          <w:rFonts w:ascii="Arial" w:hAnsi="Arial" w:cs="Arial"/>
        </w:rPr>
        <w:t>Mid-Term</w:t>
      </w:r>
      <w:r w:rsidRPr="002762DF">
        <w:rPr>
          <w:rFonts w:ascii="Arial" w:hAnsi="Arial" w:cs="Arial"/>
          <w:spacing w:val="-14"/>
        </w:rPr>
        <w:t xml:space="preserve"> </w:t>
      </w:r>
      <w:r w:rsidRPr="002762DF">
        <w:rPr>
          <w:rFonts w:ascii="Arial" w:hAnsi="Arial" w:cs="Arial"/>
        </w:rPr>
        <w:t>and</w:t>
      </w:r>
      <w:r w:rsidRPr="002762DF">
        <w:rPr>
          <w:rFonts w:ascii="Arial" w:hAnsi="Arial" w:cs="Arial"/>
          <w:spacing w:val="-7"/>
        </w:rPr>
        <w:t xml:space="preserve"> </w:t>
      </w:r>
      <w:r w:rsidRPr="002762DF">
        <w:rPr>
          <w:rFonts w:ascii="Arial" w:hAnsi="Arial" w:cs="Arial"/>
        </w:rPr>
        <w:t>The</w:t>
      </w:r>
      <w:r w:rsidRPr="002762DF">
        <w:rPr>
          <w:rFonts w:ascii="Arial" w:hAnsi="Arial" w:cs="Arial"/>
          <w:spacing w:val="-7"/>
        </w:rPr>
        <w:t xml:space="preserve"> </w:t>
      </w:r>
      <w:r w:rsidRPr="002762DF">
        <w:rPr>
          <w:rFonts w:ascii="Arial" w:hAnsi="Arial" w:cs="Arial"/>
        </w:rPr>
        <w:t>Final.</w:t>
      </w:r>
      <w:r w:rsidRPr="002762DF">
        <w:rPr>
          <w:rFonts w:ascii="Arial" w:hAnsi="Arial" w:cs="Arial"/>
          <w:spacing w:val="-14"/>
        </w:rPr>
        <w:t xml:space="preserve"> </w:t>
      </w:r>
      <w:r w:rsidRPr="002762DF">
        <w:rPr>
          <w:rFonts w:ascii="Arial" w:hAnsi="Arial" w:cs="Arial"/>
        </w:rPr>
        <w:t>See</w:t>
      </w:r>
      <w:r w:rsidRPr="002762DF">
        <w:rPr>
          <w:rFonts w:ascii="Arial" w:hAnsi="Arial" w:cs="Arial"/>
          <w:spacing w:val="-12"/>
        </w:rPr>
        <w:t xml:space="preserve"> </w:t>
      </w:r>
      <w:r w:rsidRPr="002762DF">
        <w:rPr>
          <w:rFonts w:ascii="Arial" w:hAnsi="Arial" w:cs="Arial"/>
        </w:rPr>
        <w:t>the</w:t>
      </w:r>
      <w:r w:rsidRPr="002762DF">
        <w:rPr>
          <w:rFonts w:ascii="Arial" w:hAnsi="Arial" w:cs="Arial"/>
          <w:spacing w:val="-7"/>
        </w:rPr>
        <w:t xml:space="preserve"> </w:t>
      </w:r>
      <w:r w:rsidRPr="002762DF">
        <w:rPr>
          <w:rFonts w:ascii="Arial" w:hAnsi="Arial" w:cs="Arial"/>
        </w:rPr>
        <w:t>Student</w:t>
      </w:r>
      <w:r w:rsidRPr="002762DF">
        <w:rPr>
          <w:rFonts w:ascii="Arial" w:hAnsi="Arial" w:cs="Arial"/>
          <w:spacing w:val="-4"/>
        </w:rPr>
        <w:t xml:space="preserve"> </w:t>
      </w:r>
      <w:r w:rsidRPr="002762DF">
        <w:rPr>
          <w:rFonts w:ascii="Arial" w:hAnsi="Arial" w:cs="Arial"/>
        </w:rPr>
        <w:t>Teaching Handbook for further information about these three</w:t>
      </w:r>
      <w:r w:rsidRPr="002762DF">
        <w:rPr>
          <w:rFonts w:ascii="Arial" w:hAnsi="Arial" w:cs="Arial"/>
          <w:spacing w:val="-32"/>
        </w:rPr>
        <w:t xml:space="preserve"> </w:t>
      </w:r>
      <w:r w:rsidRPr="002762DF">
        <w:rPr>
          <w:rFonts w:ascii="Arial" w:hAnsi="Arial" w:cs="Arial"/>
        </w:rPr>
        <w:t>meetings.</w:t>
      </w:r>
    </w:p>
    <w:p w14:paraId="047459FD" w14:textId="77777777" w:rsidR="002762DF" w:rsidRPr="002762DF" w:rsidRDefault="002762DF" w:rsidP="002762DF">
      <w:pPr>
        <w:widowControl w:val="0"/>
        <w:numPr>
          <w:ilvl w:val="0"/>
          <w:numId w:val="1"/>
        </w:numPr>
        <w:tabs>
          <w:tab w:val="left" w:pos="733"/>
        </w:tabs>
        <w:autoSpaceDE w:val="0"/>
        <w:autoSpaceDN w:val="0"/>
        <w:spacing w:before="71" w:after="0" w:line="240" w:lineRule="auto"/>
        <w:ind w:left="733" w:hanging="364"/>
        <w:jc w:val="both"/>
        <w:rPr>
          <w:rFonts w:ascii="Arial" w:hAnsi="Arial" w:cs="Arial"/>
        </w:rPr>
      </w:pPr>
      <w:r w:rsidRPr="002762DF">
        <w:rPr>
          <w:rFonts w:ascii="Arial" w:hAnsi="Arial" w:cs="Arial"/>
        </w:rPr>
        <w:t>Complete</w:t>
      </w:r>
      <w:r w:rsidRPr="002762DF">
        <w:rPr>
          <w:rFonts w:ascii="Arial" w:hAnsi="Arial" w:cs="Arial"/>
          <w:spacing w:val="-4"/>
        </w:rPr>
        <w:t xml:space="preserve"> </w:t>
      </w:r>
      <w:r w:rsidRPr="002762DF">
        <w:rPr>
          <w:rFonts w:ascii="Arial" w:hAnsi="Arial" w:cs="Arial"/>
        </w:rPr>
        <w:t>the</w:t>
      </w:r>
      <w:r w:rsidRPr="002762DF">
        <w:rPr>
          <w:rFonts w:ascii="Arial" w:hAnsi="Arial" w:cs="Arial"/>
          <w:spacing w:val="-3"/>
        </w:rPr>
        <w:t xml:space="preserve"> </w:t>
      </w:r>
      <w:r w:rsidRPr="002762DF">
        <w:rPr>
          <w:rFonts w:ascii="Arial" w:hAnsi="Arial" w:cs="Arial"/>
        </w:rPr>
        <w:t>Mock</w:t>
      </w:r>
      <w:r w:rsidRPr="002762DF">
        <w:rPr>
          <w:rFonts w:ascii="Arial" w:hAnsi="Arial" w:cs="Arial"/>
          <w:spacing w:val="-3"/>
        </w:rPr>
        <w:t xml:space="preserve"> </w:t>
      </w:r>
      <w:r w:rsidRPr="002762DF">
        <w:rPr>
          <w:rFonts w:ascii="Arial" w:hAnsi="Arial" w:cs="Arial"/>
        </w:rPr>
        <w:t>Evaluation</w:t>
      </w:r>
      <w:r w:rsidRPr="002762DF">
        <w:rPr>
          <w:rFonts w:ascii="Arial" w:hAnsi="Arial" w:cs="Arial"/>
          <w:spacing w:val="-2"/>
        </w:rPr>
        <w:t xml:space="preserve"> </w:t>
      </w:r>
      <w:r w:rsidRPr="002762DF">
        <w:rPr>
          <w:rFonts w:ascii="Arial" w:hAnsi="Arial" w:cs="Arial"/>
        </w:rPr>
        <w:t>with</w:t>
      </w:r>
      <w:r w:rsidRPr="002762DF">
        <w:rPr>
          <w:rFonts w:ascii="Arial" w:hAnsi="Arial" w:cs="Arial"/>
          <w:spacing w:val="-2"/>
        </w:rPr>
        <w:t xml:space="preserve"> </w:t>
      </w:r>
      <w:r w:rsidRPr="002762DF">
        <w:rPr>
          <w:rFonts w:ascii="Arial" w:hAnsi="Arial" w:cs="Arial"/>
        </w:rPr>
        <w:t>the</w:t>
      </w:r>
      <w:r w:rsidRPr="002762DF">
        <w:rPr>
          <w:rFonts w:ascii="Arial" w:hAnsi="Arial" w:cs="Arial"/>
          <w:spacing w:val="-2"/>
        </w:rPr>
        <w:t xml:space="preserve"> </w:t>
      </w:r>
      <w:r w:rsidRPr="002762DF">
        <w:rPr>
          <w:rFonts w:ascii="Arial" w:hAnsi="Arial" w:cs="Arial"/>
        </w:rPr>
        <w:t>cooperating</w:t>
      </w:r>
      <w:r w:rsidRPr="002762DF">
        <w:rPr>
          <w:rFonts w:ascii="Arial" w:hAnsi="Arial" w:cs="Arial"/>
          <w:spacing w:val="-35"/>
        </w:rPr>
        <w:t xml:space="preserve"> </w:t>
      </w:r>
      <w:r w:rsidRPr="002762DF">
        <w:rPr>
          <w:rFonts w:ascii="Arial" w:hAnsi="Arial" w:cs="Arial"/>
          <w:spacing w:val="-2"/>
        </w:rPr>
        <w:t>teacher.</w:t>
      </w:r>
    </w:p>
    <w:p w14:paraId="4E0195BD" w14:textId="3889F364" w:rsidR="002762DF" w:rsidRDefault="002762DF" w:rsidP="002762DF">
      <w:pPr>
        <w:widowControl w:val="0"/>
        <w:numPr>
          <w:ilvl w:val="0"/>
          <w:numId w:val="1"/>
        </w:numPr>
        <w:tabs>
          <w:tab w:val="left" w:pos="733"/>
        </w:tabs>
        <w:autoSpaceDE w:val="0"/>
        <w:autoSpaceDN w:val="0"/>
        <w:spacing w:before="67" w:after="0" w:line="240" w:lineRule="auto"/>
        <w:ind w:left="733" w:hanging="364"/>
        <w:jc w:val="both"/>
      </w:pPr>
      <w:r w:rsidRPr="002762DF">
        <w:rPr>
          <w:rFonts w:ascii="Arial" w:hAnsi="Arial" w:cs="Arial"/>
        </w:rPr>
        <w:t>Use</w:t>
      </w:r>
      <w:r w:rsidRPr="002762DF">
        <w:rPr>
          <w:rFonts w:ascii="Arial" w:hAnsi="Arial" w:cs="Arial"/>
          <w:spacing w:val="-3"/>
        </w:rPr>
        <w:t xml:space="preserve"> </w:t>
      </w:r>
      <w:r w:rsidRPr="002762DF">
        <w:rPr>
          <w:rFonts w:ascii="Arial" w:hAnsi="Arial" w:cs="Arial"/>
        </w:rPr>
        <w:t>Tk20</w:t>
      </w:r>
      <w:r w:rsidRPr="002762DF">
        <w:rPr>
          <w:rFonts w:ascii="Arial" w:hAnsi="Arial" w:cs="Arial"/>
          <w:spacing w:val="-2"/>
        </w:rPr>
        <w:t xml:space="preserve"> </w:t>
      </w:r>
      <w:r w:rsidRPr="002762DF">
        <w:rPr>
          <w:rFonts w:ascii="Arial" w:hAnsi="Arial" w:cs="Arial"/>
        </w:rPr>
        <w:t>to</w:t>
      </w:r>
      <w:r w:rsidRPr="002762DF">
        <w:rPr>
          <w:rFonts w:ascii="Arial" w:hAnsi="Arial" w:cs="Arial"/>
          <w:spacing w:val="-2"/>
        </w:rPr>
        <w:t xml:space="preserve"> </w:t>
      </w:r>
      <w:r w:rsidRPr="002762DF">
        <w:rPr>
          <w:rFonts w:ascii="Arial" w:hAnsi="Arial" w:cs="Arial"/>
        </w:rPr>
        <w:t>complete</w:t>
      </w:r>
      <w:r w:rsidRPr="002762DF">
        <w:rPr>
          <w:rFonts w:ascii="Arial" w:hAnsi="Arial" w:cs="Arial"/>
          <w:spacing w:val="-2"/>
        </w:rPr>
        <w:t xml:space="preserve"> </w:t>
      </w:r>
      <w:r w:rsidRPr="002762DF">
        <w:rPr>
          <w:rFonts w:ascii="Arial" w:hAnsi="Arial" w:cs="Arial"/>
        </w:rPr>
        <w:t>the</w:t>
      </w:r>
      <w:r w:rsidRPr="002762DF">
        <w:rPr>
          <w:rFonts w:ascii="Arial" w:hAnsi="Arial" w:cs="Arial"/>
          <w:spacing w:val="-4"/>
        </w:rPr>
        <w:t xml:space="preserve"> </w:t>
      </w:r>
      <w:r w:rsidRPr="002762DF">
        <w:rPr>
          <w:rFonts w:ascii="Arial" w:hAnsi="Arial" w:cs="Arial"/>
        </w:rPr>
        <w:t>necessary</w:t>
      </w:r>
      <w:r w:rsidRPr="002762DF">
        <w:rPr>
          <w:rFonts w:ascii="Arial" w:hAnsi="Arial" w:cs="Arial"/>
          <w:spacing w:val="-3"/>
        </w:rPr>
        <w:t xml:space="preserve"> </w:t>
      </w:r>
      <w:r w:rsidRPr="002762DF">
        <w:rPr>
          <w:rFonts w:ascii="Arial" w:hAnsi="Arial" w:cs="Arial"/>
        </w:rPr>
        <w:t>forms</w:t>
      </w:r>
      <w:r w:rsidRPr="002762DF">
        <w:rPr>
          <w:rFonts w:ascii="Arial" w:hAnsi="Arial" w:cs="Arial"/>
          <w:spacing w:val="-2"/>
        </w:rPr>
        <w:t xml:space="preserve"> </w:t>
      </w:r>
      <w:r w:rsidRPr="002762DF">
        <w:rPr>
          <w:rFonts w:ascii="Arial" w:hAnsi="Arial" w:cs="Arial"/>
        </w:rPr>
        <w:t>and</w:t>
      </w:r>
      <w:r w:rsidRPr="002762DF">
        <w:rPr>
          <w:rFonts w:ascii="Arial" w:hAnsi="Arial" w:cs="Arial"/>
          <w:spacing w:val="-39"/>
        </w:rPr>
        <w:t xml:space="preserve"> </w:t>
      </w:r>
      <w:r w:rsidRPr="002762DF">
        <w:rPr>
          <w:rFonts w:ascii="Arial" w:hAnsi="Arial" w:cs="Arial"/>
          <w:spacing w:val="-2"/>
        </w:rPr>
        <w:t>evaluations.</w:t>
      </w:r>
    </w:p>
    <w:sectPr w:rsidR="002762DF" w:rsidSect="002762D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86534"/>
    <w:multiLevelType w:val="hybridMultilevel"/>
    <w:tmpl w:val="9C444ED6"/>
    <w:lvl w:ilvl="0" w:tplc="C80033C0">
      <w:numFmt w:val="bullet"/>
      <w:lvlText w:val=""/>
      <w:lvlJc w:val="left"/>
      <w:pPr>
        <w:ind w:left="732" w:hanging="360"/>
      </w:pPr>
      <w:rPr>
        <w:rFonts w:ascii="Wingdings" w:eastAsia="Wingdings" w:hAnsi="Wingdings" w:cs="Wingdings" w:hint="default"/>
        <w:b w:val="0"/>
        <w:bCs w:val="0"/>
        <w:i w:val="0"/>
        <w:iCs w:val="0"/>
        <w:spacing w:val="0"/>
        <w:w w:val="100"/>
        <w:sz w:val="18"/>
        <w:szCs w:val="18"/>
        <w:lang w:val="en-US" w:eastAsia="en-US" w:bidi="ar-SA"/>
      </w:rPr>
    </w:lvl>
    <w:lvl w:ilvl="1" w:tplc="C3529640">
      <w:numFmt w:val="bullet"/>
      <w:lvlText w:val="•"/>
      <w:lvlJc w:val="left"/>
      <w:pPr>
        <w:ind w:left="1590" w:hanging="360"/>
      </w:pPr>
      <w:rPr>
        <w:rFonts w:hint="default"/>
        <w:lang w:val="en-US" w:eastAsia="en-US" w:bidi="ar-SA"/>
      </w:rPr>
    </w:lvl>
    <w:lvl w:ilvl="2" w:tplc="7D26AAB4">
      <w:numFmt w:val="bullet"/>
      <w:lvlText w:val="•"/>
      <w:lvlJc w:val="left"/>
      <w:pPr>
        <w:ind w:left="2440" w:hanging="360"/>
      </w:pPr>
      <w:rPr>
        <w:rFonts w:hint="default"/>
        <w:lang w:val="en-US" w:eastAsia="en-US" w:bidi="ar-SA"/>
      </w:rPr>
    </w:lvl>
    <w:lvl w:ilvl="3" w:tplc="4F5C0B98">
      <w:numFmt w:val="bullet"/>
      <w:lvlText w:val="•"/>
      <w:lvlJc w:val="left"/>
      <w:pPr>
        <w:ind w:left="3290" w:hanging="360"/>
      </w:pPr>
      <w:rPr>
        <w:rFonts w:hint="default"/>
        <w:lang w:val="en-US" w:eastAsia="en-US" w:bidi="ar-SA"/>
      </w:rPr>
    </w:lvl>
    <w:lvl w:ilvl="4" w:tplc="2E38707E">
      <w:numFmt w:val="bullet"/>
      <w:lvlText w:val="•"/>
      <w:lvlJc w:val="left"/>
      <w:pPr>
        <w:ind w:left="4140" w:hanging="360"/>
      </w:pPr>
      <w:rPr>
        <w:rFonts w:hint="default"/>
        <w:lang w:val="en-US" w:eastAsia="en-US" w:bidi="ar-SA"/>
      </w:rPr>
    </w:lvl>
    <w:lvl w:ilvl="5" w:tplc="F4BC6BBA">
      <w:numFmt w:val="bullet"/>
      <w:lvlText w:val="•"/>
      <w:lvlJc w:val="left"/>
      <w:pPr>
        <w:ind w:left="4991" w:hanging="360"/>
      </w:pPr>
      <w:rPr>
        <w:rFonts w:hint="default"/>
        <w:lang w:val="en-US" w:eastAsia="en-US" w:bidi="ar-SA"/>
      </w:rPr>
    </w:lvl>
    <w:lvl w:ilvl="6" w:tplc="44B43BFC">
      <w:numFmt w:val="bullet"/>
      <w:lvlText w:val="•"/>
      <w:lvlJc w:val="left"/>
      <w:pPr>
        <w:ind w:left="5841" w:hanging="360"/>
      </w:pPr>
      <w:rPr>
        <w:rFonts w:hint="default"/>
        <w:lang w:val="en-US" w:eastAsia="en-US" w:bidi="ar-SA"/>
      </w:rPr>
    </w:lvl>
    <w:lvl w:ilvl="7" w:tplc="91027B14">
      <w:numFmt w:val="bullet"/>
      <w:lvlText w:val="•"/>
      <w:lvlJc w:val="left"/>
      <w:pPr>
        <w:ind w:left="6691" w:hanging="360"/>
      </w:pPr>
      <w:rPr>
        <w:rFonts w:hint="default"/>
        <w:lang w:val="en-US" w:eastAsia="en-US" w:bidi="ar-SA"/>
      </w:rPr>
    </w:lvl>
    <w:lvl w:ilvl="8" w:tplc="3EC0DB6E">
      <w:numFmt w:val="bullet"/>
      <w:lvlText w:val="•"/>
      <w:lvlJc w:val="left"/>
      <w:pPr>
        <w:ind w:left="7541" w:hanging="360"/>
      </w:pPr>
      <w:rPr>
        <w:rFonts w:hint="default"/>
        <w:lang w:val="en-US" w:eastAsia="en-US" w:bidi="ar-SA"/>
      </w:rPr>
    </w:lvl>
  </w:abstractNum>
  <w:num w:numId="1" w16cid:durableId="447706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2DF"/>
    <w:rsid w:val="00014DEB"/>
    <w:rsid w:val="0003350D"/>
    <w:rsid w:val="00044019"/>
    <w:rsid w:val="00063739"/>
    <w:rsid w:val="000903D5"/>
    <w:rsid w:val="000A0A3A"/>
    <w:rsid w:val="000E5F0A"/>
    <w:rsid w:val="000E6D04"/>
    <w:rsid w:val="00145FAB"/>
    <w:rsid w:val="00175F1B"/>
    <w:rsid w:val="001776C6"/>
    <w:rsid w:val="001967CA"/>
    <w:rsid w:val="001A6467"/>
    <w:rsid w:val="001A78B2"/>
    <w:rsid w:val="001B6997"/>
    <w:rsid w:val="001B7498"/>
    <w:rsid w:val="001E3792"/>
    <w:rsid w:val="0022317E"/>
    <w:rsid w:val="00271A27"/>
    <w:rsid w:val="002762DF"/>
    <w:rsid w:val="002B3555"/>
    <w:rsid w:val="002C0C8C"/>
    <w:rsid w:val="00312846"/>
    <w:rsid w:val="00316005"/>
    <w:rsid w:val="00345265"/>
    <w:rsid w:val="00355042"/>
    <w:rsid w:val="003941A1"/>
    <w:rsid w:val="003C69F3"/>
    <w:rsid w:val="003E0FAB"/>
    <w:rsid w:val="004232E9"/>
    <w:rsid w:val="00426DE7"/>
    <w:rsid w:val="0043760D"/>
    <w:rsid w:val="0044108F"/>
    <w:rsid w:val="00445D8E"/>
    <w:rsid w:val="00456688"/>
    <w:rsid w:val="00492443"/>
    <w:rsid w:val="004949E1"/>
    <w:rsid w:val="004B3EC5"/>
    <w:rsid w:val="00504EF8"/>
    <w:rsid w:val="00531BDA"/>
    <w:rsid w:val="0053587C"/>
    <w:rsid w:val="00567628"/>
    <w:rsid w:val="00586B89"/>
    <w:rsid w:val="005F7664"/>
    <w:rsid w:val="006148A4"/>
    <w:rsid w:val="006233EA"/>
    <w:rsid w:val="006321BC"/>
    <w:rsid w:val="00635140"/>
    <w:rsid w:val="00671531"/>
    <w:rsid w:val="00687760"/>
    <w:rsid w:val="006A4818"/>
    <w:rsid w:val="006D7747"/>
    <w:rsid w:val="006E0642"/>
    <w:rsid w:val="006F2A63"/>
    <w:rsid w:val="0073576B"/>
    <w:rsid w:val="0074462F"/>
    <w:rsid w:val="00753B39"/>
    <w:rsid w:val="00784D9D"/>
    <w:rsid w:val="0079603B"/>
    <w:rsid w:val="007A7C25"/>
    <w:rsid w:val="007C1395"/>
    <w:rsid w:val="007D2F51"/>
    <w:rsid w:val="007F2FCB"/>
    <w:rsid w:val="007F306E"/>
    <w:rsid w:val="00802E7F"/>
    <w:rsid w:val="00821C29"/>
    <w:rsid w:val="00835838"/>
    <w:rsid w:val="0085017D"/>
    <w:rsid w:val="00860989"/>
    <w:rsid w:val="00865D76"/>
    <w:rsid w:val="008A2205"/>
    <w:rsid w:val="008A4465"/>
    <w:rsid w:val="008B1AC8"/>
    <w:rsid w:val="008C28E6"/>
    <w:rsid w:val="008D1DC9"/>
    <w:rsid w:val="00907D3F"/>
    <w:rsid w:val="0091344A"/>
    <w:rsid w:val="009A69FA"/>
    <w:rsid w:val="009B06B4"/>
    <w:rsid w:val="009C24E7"/>
    <w:rsid w:val="009C3688"/>
    <w:rsid w:val="009F3B4D"/>
    <w:rsid w:val="009F74A2"/>
    <w:rsid w:val="00A15A20"/>
    <w:rsid w:val="00A258F5"/>
    <w:rsid w:val="00A33B9C"/>
    <w:rsid w:val="00A541BD"/>
    <w:rsid w:val="00A931F6"/>
    <w:rsid w:val="00A978F0"/>
    <w:rsid w:val="00AD2B8A"/>
    <w:rsid w:val="00AE0541"/>
    <w:rsid w:val="00AE49D8"/>
    <w:rsid w:val="00B32B47"/>
    <w:rsid w:val="00B45F48"/>
    <w:rsid w:val="00B47610"/>
    <w:rsid w:val="00B73415"/>
    <w:rsid w:val="00B75E42"/>
    <w:rsid w:val="00BC6A88"/>
    <w:rsid w:val="00BE4F5A"/>
    <w:rsid w:val="00C00093"/>
    <w:rsid w:val="00C2396B"/>
    <w:rsid w:val="00C473B2"/>
    <w:rsid w:val="00C831E5"/>
    <w:rsid w:val="00C83BCE"/>
    <w:rsid w:val="00C95657"/>
    <w:rsid w:val="00CA5C6F"/>
    <w:rsid w:val="00CD5D30"/>
    <w:rsid w:val="00D141F1"/>
    <w:rsid w:val="00D31B92"/>
    <w:rsid w:val="00D36ECA"/>
    <w:rsid w:val="00D57F0C"/>
    <w:rsid w:val="00D64B38"/>
    <w:rsid w:val="00D71631"/>
    <w:rsid w:val="00D97F24"/>
    <w:rsid w:val="00DB1D00"/>
    <w:rsid w:val="00DC5A97"/>
    <w:rsid w:val="00E15082"/>
    <w:rsid w:val="00E21BA8"/>
    <w:rsid w:val="00E431C1"/>
    <w:rsid w:val="00E62E68"/>
    <w:rsid w:val="00E64FD1"/>
    <w:rsid w:val="00E83FB0"/>
    <w:rsid w:val="00E95E86"/>
    <w:rsid w:val="00EA570B"/>
    <w:rsid w:val="00EB60AE"/>
    <w:rsid w:val="00ED6CAF"/>
    <w:rsid w:val="00F3589F"/>
    <w:rsid w:val="00F50C81"/>
    <w:rsid w:val="00F51D97"/>
    <w:rsid w:val="00F875C0"/>
    <w:rsid w:val="00F91199"/>
    <w:rsid w:val="00F92C39"/>
    <w:rsid w:val="00FC304A"/>
    <w:rsid w:val="00FE1435"/>
    <w:rsid w:val="00FF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4749"/>
  <w15:chartTrackingRefBased/>
  <w15:docId w15:val="{C95F4B9D-08B4-499D-AE60-3F634DB8D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62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762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62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62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62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62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62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62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62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62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762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62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62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62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62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62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62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62DF"/>
    <w:rPr>
      <w:rFonts w:eastAsiaTheme="majorEastAsia" w:cstheme="majorBidi"/>
      <w:color w:val="272727" w:themeColor="text1" w:themeTint="D8"/>
    </w:rPr>
  </w:style>
  <w:style w:type="paragraph" w:styleId="Title">
    <w:name w:val="Title"/>
    <w:basedOn w:val="Normal"/>
    <w:next w:val="Normal"/>
    <w:link w:val="TitleChar"/>
    <w:uiPriority w:val="10"/>
    <w:qFormat/>
    <w:rsid w:val="002762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62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62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62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62DF"/>
    <w:pPr>
      <w:spacing w:before="160"/>
      <w:jc w:val="center"/>
    </w:pPr>
    <w:rPr>
      <w:i/>
      <w:iCs/>
      <w:color w:val="404040" w:themeColor="text1" w:themeTint="BF"/>
    </w:rPr>
  </w:style>
  <w:style w:type="character" w:customStyle="1" w:styleId="QuoteChar">
    <w:name w:val="Quote Char"/>
    <w:basedOn w:val="DefaultParagraphFont"/>
    <w:link w:val="Quote"/>
    <w:uiPriority w:val="29"/>
    <w:rsid w:val="002762DF"/>
    <w:rPr>
      <w:i/>
      <w:iCs/>
      <w:color w:val="404040" w:themeColor="text1" w:themeTint="BF"/>
    </w:rPr>
  </w:style>
  <w:style w:type="paragraph" w:styleId="ListParagraph">
    <w:name w:val="List Paragraph"/>
    <w:basedOn w:val="Normal"/>
    <w:uiPriority w:val="34"/>
    <w:qFormat/>
    <w:rsid w:val="002762DF"/>
    <w:pPr>
      <w:ind w:left="720"/>
      <w:contextualSpacing/>
    </w:pPr>
  </w:style>
  <w:style w:type="character" w:styleId="IntenseEmphasis">
    <w:name w:val="Intense Emphasis"/>
    <w:basedOn w:val="DefaultParagraphFont"/>
    <w:uiPriority w:val="21"/>
    <w:qFormat/>
    <w:rsid w:val="002762DF"/>
    <w:rPr>
      <w:i/>
      <w:iCs/>
      <w:color w:val="0F4761" w:themeColor="accent1" w:themeShade="BF"/>
    </w:rPr>
  </w:style>
  <w:style w:type="paragraph" w:styleId="IntenseQuote">
    <w:name w:val="Intense Quote"/>
    <w:basedOn w:val="Normal"/>
    <w:next w:val="Normal"/>
    <w:link w:val="IntenseQuoteChar"/>
    <w:uiPriority w:val="30"/>
    <w:qFormat/>
    <w:rsid w:val="002762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62DF"/>
    <w:rPr>
      <w:i/>
      <w:iCs/>
      <w:color w:val="0F4761" w:themeColor="accent1" w:themeShade="BF"/>
    </w:rPr>
  </w:style>
  <w:style w:type="character" w:styleId="IntenseReference">
    <w:name w:val="Intense Reference"/>
    <w:basedOn w:val="DefaultParagraphFont"/>
    <w:uiPriority w:val="32"/>
    <w:qFormat/>
    <w:rsid w:val="002762DF"/>
    <w:rPr>
      <w:b/>
      <w:bCs/>
      <w:smallCaps/>
      <w:color w:val="0F4761" w:themeColor="accent1" w:themeShade="BF"/>
      <w:spacing w:val="5"/>
    </w:rPr>
  </w:style>
  <w:style w:type="character" w:styleId="Hyperlink">
    <w:name w:val="Hyperlink"/>
    <w:basedOn w:val="DefaultParagraphFont"/>
    <w:uiPriority w:val="99"/>
    <w:unhideWhenUsed/>
    <w:rsid w:val="002762DF"/>
    <w:rPr>
      <w:color w:val="467886" w:themeColor="hyperlink"/>
      <w:u w:val="single"/>
    </w:rPr>
  </w:style>
  <w:style w:type="character" w:styleId="UnresolvedMention">
    <w:name w:val="Unresolved Mention"/>
    <w:basedOn w:val="DefaultParagraphFont"/>
    <w:uiPriority w:val="99"/>
    <w:semiHidden/>
    <w:unhideWhenUsed/>
    <w:rsid w:val="002762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ulie-heidger@uiowa.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385</Words>
  <Characters>2199</Characters>
  <Application>Microsoft Office Word</Application>
  <DocSecurity>0</DocSecurity>
  <Lines>18</Lines>
  <Paragraphs>5</Paragraphs>
  <ScaleCrop>false</ScaleCrop>
  <Company>The University of Iowa</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Finley, Jean</dc:creator>
  <cp:keywords/>
  <dc:description/>
  <cp:lastModifiedBy>Finley, Jean</cp:lastModifiedBy>
  <cp:revision>1</cp:revision>
  <dcterms:created xsi:type="dcterms:W3CDTF">2026-07-22T17:34:00Z</dcterms:created>
  <dcterms:modified xsi:type="dcterms:W3CDTF">2026-07-22T17:40:00Z</dcterms:modified>
</cp:coreProperties>
</file>