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3A" w:rsidRPr="000E2C3A" w:rsidRDefault="000E2C3A" w:rsidP="009C6E2B">
      <w:pPr>
        <w:pStyle w:val="Heading1"/>
      </w:pPr>
      <w:bookmarkStart w:id="0" w:name="_Toc510106830"/>
      <w:r>
        <w:t>S</w:t>
      </w:r>
      <w:r w:rsidRPr="000E2C3A">
        <w:t>tudent Learning Outcomes Assessment Form</w:t>
      </w:r>
      <w:bookmarkEnd w:id="0"/>
    </w:p>
    <w:p w:rsidR="000E2C3A" w:rsidRDefault="000E2C3A" w:rsidP="000E2C3A">
      <w:r>
        <w:t>Student:</w:t>
      </w:r>
    </w:p>
    <w:p w:rsidR="000E2C3A" w:rsidRDefault="000E2C3A" w:rsidP="000E2C3A">
      <w:r>
        <w:t>Enrollment Date:</w:t>
      </w:r>
    </w:p>
    <w:p w:rsidR="000E2C3A" w:rsidRDefault="000E2C3A" w:rsidP="000E2C3A">
      <w:r>
        <w:t>Systematic Review Pass Date:</w:t>
      </w:r>
    </w:p>
    <w:p w:rsidR="000E2C3A" w:rsidRDefault="000E2C3A" w:rsidP="000E2C3A">
      <w:r>
        <w:t>Theory of Change Pass Date:</w:t>
      </w:r>
    </w:p>
    <w:p w:rsidR="000E2C3A" w:rsidRDefault="000E2C3A" w:rsidP="000E2C3A">
      <w:r>
        <w:t>Comprehensive Exam Date:</w:t>
      </w:r>
    </w:p>
    <w:p w:rsidR="000E2C3A" w:rsidRDefault="000E2C3A" w:rsidP="000E2C3A">
      <w:r>
        <w:t>Dissertation Defense Date:</w:t>
      </w:r>
    </w:p>
    <w:p w:rsidR="000E2C3A" w:rsidRDefault="000E2C3A" w:rsidP="000E2C3A"/>
    <w:tbl>
      <w:tblPr>
        <w:tblStyle w:val="TableGrid"/>
        <w:tblW w:w="0" w:type="auto"/>
        <w:tblLook w:val="04A0" w:firstRow="1" w:lastRow="0" w:firstColumn="1" w:lastColumn="0" w:noHBand="0" w:noVBand="1"/>
        <w:tblDescription w:val="Assessment form"/>
      </w:tblPr>
      <w:tblGrid>
        <w:gridCol w:w="3728"/>
        <w:gridCol w:w="3382"/>
        <w:gridCol w:w="830"/>
        <w:gridCol w:w="1410"/>
      </w:tblGrid>
      <w:tr w:rsidR="000E2C3A" w:rsidTr="009C6E2B">
        <w:trPr>
          <w:cantSplit/>
          <w:tblHeader/>
        </w:trPr>
        <w:tc>
          <w:tcPr>
            <w:tcW w:w="3757" w:type="dxa"/>
          </w:tcPr>
          <w:p w:rsidR="000E2C3A" w:rsidRDefault="000E2C3A" w:rsidP="00DD0491">
            <w:r>
              <w:t>S</w:t>
            </w:r>
            <w:r>
              <w:t>tudent Learning Outcome</w:t>
            </w:r>
          </w:p>
        </w:tc>
        <w:tc>
          <w:tcPr>
            <w:tcW w:w="3410" w:type="dxa"/>
          </w:tcPr>
          <w:p w:rsidR="000E2C3A" w:rsidRDefault="000E2C3A" w:rsidP="00DD0491">
            <w:r>
              <w:t>Measurement</w:t>
            </w:r>
          </w:p>
        </w:tc>
        <w:tc>
          <w:tcPr>
            <w:tcW w:w="771" w:type="dxa"/>
          </w:tcPr>
          <w:p w:rsidR="000E2C3A" w:rsidRDefault="000E2C3A" w:rsidP="00DD0491">
            <w:r>
              <w:t>Result</w:t>
            </w:r>
          </w:p>
        </w:tc>
        <w:tc>
          <w:tcPr>
            <w:tcW w:w="1412" w:type="dxa"/>
          </w:tcPr>
          <w:p w:rsidR="000E2C3A" w:rsidRDefault="000E2C3A" w:rsidP="00DD0491">
            <w:r>
              <w:t>Date Completed</w:t>
            </w:r>
          </w:p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 w:rsidRPr="005F08B5">
              <w:t>1.1 Students will demonstrate their ability to critique the CFT literature and propose social justice and relational/systemic informed research project.</w:t>
            </w:r>
          </w:p>
        </w:tc>
        <w:tc>
          <w:tcPr>
            <w:tcW w:w="3410" w:type="dxa"/>
          </w:tcPr>
          <w:p w:rsidR="000E2C3A" w:rsidRDefault="000E2C3A" w:rsidP="00DD0491">
            <w:pPr>
              <w:spacing w:after="160" w:line="259" w:lineRule="auto"/>
            </w:pPr>
            <w:r>
              <w:t>S</w:t>
            </w:r>
            <w:r w:rsidRPr="005F08B5">
              <w:t>tudents will</w:t>
            </w:r>
            <w:r>
              <w:t xml:space="preserve"> receive an average of 80% or higher o</w:t>
            </w:r>
            <w:r w:rsidRPr="005F08B5">
              <w:t xml:space="preserve">n </w:t>
            </w:r>
            <w:r>
              <w:t>their final research project in Research Methods in Couple and Family Therapy</w:t>
            </w:r>
            <w:r w:rsidRPr="005F08B5">
              <w:t xml:space="preserve">. </w:t>
            </w:r>
            <w:bookmarkStart w:id="1" w:name="_GoBack"/>
            <w:bookmarkEnd w:id="1"/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 w:rsidRPr="005F08B5">
              <w:t xml:space="preserve">1.2 </w:t>
            </w:r>
            <w:r w:rsidRPr="00B01266">
              <w:t>Students will demonstrate their ability to disseminate their contribution to the couple and family therapy field by publishing 2 papers and presenting research at conferences.</w:t>
            </w:r>
          </w:p>
        </w:tc>
        <w:tc>
          <w:tcPr>
            <w:tcW w:w="3410" w:type="dxa"/>
          </w:tcPr>
          <w:p w:rsidR="000E2C3A" w:rsidRDefault="000E2C3A" w:rsidP="00DD0491">
            <w:pPr>
              <w:spacing w:after="160" w:line="259" w:lineRule="auto"/>
            </w:pPr>
            <w:r>
              <w:t>S</w:t>
            </w:r>
            <w:r w:rsidRPr="00B01266">
              <w:t xml:space="preserve">tudents will successfully defend the research portion of the comprehensive exams by scoring a 2 or higher on </w:t>
            </w:r>
            <w:r>
              <w:t xml:space="preserve">research portion of </w:t>
            </w:r>
            <w:r w:rsidRPr="00B01266">
              <w:t>their comprehensive exam rubric.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 w:rsidRPr="005F08B5">
              <w:t>1.3 Students will demonstrate their ability to contribute to the couple and family therapy field using innovative research methods in their dissertation.</w:t>
            </w:r>
          </w:p>
        </w:tc>
        <w:tc>
          <w:tcPr>
            <w:tcW w:w="3410" w:type="dxa"/>
          </w:tcPr>
          <w:p w:rsidR="000E2C3A" w:rsidRDefault="000E2C3A" w:rsidP="00DD0491">
            <w:pPr>
              <w:spacing w:after="160" w:line="259" w:lineRule="auto"/>
            </w:pPr>
            <w:r>
              <w:t>S</w:t>
            </w:r>
            <w:r w:rsidRPr="005F08B5">
              <w:t>tudents will successfully pass their dissertation defense</w:t>
            </w:r>
            <w:r>
              <w:t xml:space="preserve"> as measured by 2 or higher on the overall dissertation rubric</w:t>
            </w:r>
            <w:r w:rsidRPr="005F08B5">
              <w:t>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>
              <w:t>2.1</w:t>
            </w:r>
            <w:r w:rsidRPr="005F08B5">
              <w:t xml:space="preserve"> Students will demonstrate effective instruction.</w:t>
            </w:r>
          </w:p>
        </w:tc>
        <w:tc>
          <w:tcPr>
            <w:tcW w:w="3410" w:type="dxa"/>
          </w:tcPr>
          <w:p w:rsidR="000E2C3A" w:rsidRDefault="000E2C3A" w:rsidP="00DD0491">
            <w:pPr>
              <w:spacing w:after="160" w:line="259" w:lineRule="auto"/>
            </w:pPr>
            <w:r>
              <w:t>S</w:t>
            </w:r>
            <w:r w:rsidRPr="005F08B5">
              <w:t>tudents will receive an average score of 4 or better on the ACES teaching evaluation form (or equivalent) prior to taking their comprehensive exam.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>
              <w:t>2.2</w:t>
            </w:r>
            <w:r w:rsidRPr="005F08B5">
              <w:t xml:space="preserve"> Students will demonstrate their philosophical conceptualization of teaching and ways in which they create an inclusive learning environment for all students.</w:t>
            </w:r>
          </w:p>
        </w:tc>
        <w:tc>
          <w:tcPr>
            <w:tcW w:w="3410" w:type="dxa"/>
          </w:tcPr>
          <w:p w:rsidR="000E2C3A" w:rsidRDefault="000E2C3A" w:rsidP="00DD0491">
            <w:pPr>
              <w:spacing w:after="160" w:line="259" w:lineRule="auto"/>
            </w:pPr>
            <w:r>
              <w:t>S</w:t>
            </w:r>
            <w:r w:rsidRPr="005F08B5">
              <w:t xml:space="preserve">tudents will write and successfully defend a teaching philosophy statement </w:t>
            </w:r>
            <w:r>
              <w:t>that will receive an average of 2 or more on the teaching portion of their comprehensive exam rubric.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 w:rsidRPr="005F08B5">
              <w:lastRenderedPageBreak/>
              <w:t xml:space="preserve">3.1 Students demonstrate clinical competency by their advanced understanding and application of relational/systemic theories to their work with individuals, couples, families, and supervisees. </w:t>
            </w:r>
            <w:r>
              <w:t>S</w:t>
            </w:r>
            <w:r w:rsidRPr="005F08B5">
              <w:t xml:space="preserve">tudents will develop an advanced knowledge of psychotherapy/CFT theories by completing the required </w:t>
            </w:r>
            <w:r>
              <w:t>CFT specific course work.</w:t>
            </w:r>
          </w:p>
        </w:tc>
        <w:tc>
          <w:tcPr>
            <w:tcW w:w="3410" w:type="dxa"/>
          </w:tcPr>
          <w:p w:rsidR="000E2C3A" w:rsidRPr="005F08B5" w:rsidRDefault="000E2C3A" w:rsidP="00DD0491">
            <w:pPr>
              <w:spacing w:after="160" w:line="259" w:lineRule="auto"/>
            </w:pPr>
            <w:r>
              <w:t>Students will score 3</w:t>
            </w:r>
            <w:r w:rsidRPr="005F08B5">
              <w:t xml:space="preserve"> or better </w:t>
            </w:r>
            <w:r>
              <w:t>on clinical competency section of the annual student evaluation</w:t>
            </w:r>
            <w:r w:rsidRPr="005F08B5">
              <w:t>.</w:t>
            </w:r>
          </w:p>
          <w:p w:rsidR="000E2C3A" w:rsidRDefault="000E2C3A" w:rsidP="00DD0491"/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Default="000E2C3A" w:rsidP="00DD0491">
            <w:r w:rsidRPr="005F08B5">
              <w:t>3.2 Students will demonstrate a solid understanding of couple and family therapy theories and AAMFT Core Competencies.</w:t>
            </w:r>
          </w:p>
        </w:tc>
        <w:tc>
          <w:tcPr>
            <w:tcW w:w="3410" w:type="dxa"/>
          </w:tcPr>
          <w:p w:rsidR="000E2C3A" w:rsidRDefault="000E2C3A" w:rsidP="00DD0491">
            <w:r>
              <w:t>S</w:t>
            </w:r>
            <w:r w:rsidRPr="005F08B5">
              <w:t>tudents will pass the AMFTRB licensure examination.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t xml:space="preserve">3.3 Students will demonstrate their advanced couple and family therapy theoretical understanding </w:t>
            </w:r>
            <w:r>
              <w:t xml:space="preserve">be integrating theories and creating a </w:t>
            </w:r>
            <w:r w:rsidRPr="005F08B5">
              <w:t>theory of change.</w:t>
            </w:r>
          </w:p>
        </w:tc>
        <w:tc>
          <w:tcPr>
            <w:tcW w:w="3410" w:type="dxa"/>
          </w:tcPr>
          <w:p w:rsidR="000E2C3A" w:rsidRDefault="000E2C3A" w:rsidP="00DD0491">
            <w:r>
              <w:t>S</w:t>
            </w:r>
            <w:r w:rsidRPr="005F08B5">
              <w:t xml:space="preserve">tudents will </w:t>
            </w:r>
            <w:r>
              <w:t>rece</w:t>
            </w:r>
            <w:r w:rsidRPr="00A953F7">
              <w:t xml:space="preserve">ive an 80% or higher on their Theory of Change paper in the Advanced Couple and Family </w:t>
            </w:r>
            <w:r>
              <w:t xml:space="preserve">Therapy and Psychotherapy course. </w:t>
            </w:r>
            <w:r w:rsidRPr="005F08B5">
              <w:t xml:space="preserve"> 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t>3.4 Students will demonstrate their advanced theoretical understanding through supervision of couple and family therapists in training.</w:t>
            </w:r>
          </w:p>
        </w:tc>
        <w:tc>
          <w:tcPr>
            <w:tcW w:w="3410" w:type="dxa"/>
          </w:tcPr>
          <w:p w:rsidR="000E2C3A" w:rsidRDefault="000E2C3A" w:rsidP="00DD0491">
            <w:r>
              <w:t>S</w:t>
            </w:r>
            <w:r w:rsidRPr="005F08B5">
              <w:t xml:space="preserve">tudents will have completed an AAMFT approved supervisor course and received at least an 80% or better </w:t>
            </w:r>
            <w:r>
              <w:t>on their philosophy of supervision paper</w:t>
            </w:r>
            <w:r w:rsidRPr="005F08B5">
              <w:t>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t xml:space="preserve">4.1 </w:t>
            </w:r>
            <w:r w:rsidRPr="00A953F7">
              <w:t>Students will demonstrate an advanced knowledge of ethics through activities in the required ethics courses and clinical practice.</w:t>
            </w:r>
          </w:p>
        </w:tc>
        <w:tc>
          <w:tcPr>
            <w:tcW w:w="3410" w:type="dxa"/>
          </w:tcPr>
          <w:p w:rsidR="000E2C3A" w:rsidRDefault="000E2C3A" w:rsidP="00DD0491">
            <w:r w:rsidRPr="00A953F7">
              <w:t>Students will demonstrate competency by 3 or higher on the</w:t>
            </w:r>
            <w:r>
              <w:t xml:space="preserve"> ethical portion of their</w:t>
            </w:r>
            <w:r w:rsidRPr="00A953F7">
              <w:t xml:space="preserve"> annual student evaluations.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t>4.2 Students will demonstrate their ethical competency by successfully creating and defending an ethics autobiography paper that describes their personal ethical development and their ethical decision making style.</w:t>
            </w:r>
          </w:p>
        </w:tc>
        <w:tc>
          <w:tcPr>
            <w:tcW w:w="3410" w:type="dxa"/>
          </w:tcPr>
          <w:p w:rsidR="000E2C3A" w:rsidRPr="00A953F7" w:rsidRDefault="000E2C3A" w:rsidP="00DD0491">
            <w:r>
              <w:t>S</w:t>
            </w:r>
            <w:r w:rsidRPr="005F08B5">
              <w:t xml:space="preserve">tudents will complete </w:t>
            </w:r>
            <w:r>
              <w:t>the paper and score at least a 2</w:t>
            </w:r>
            <w:r w:rsidRPr="005F08B5">
              <w:t xml:space="preserve"> or better </w:t>
            </w:r>
            <w:r>
              <w:t>on the ethics portion of their comprehensive exam rubric</w:t>
            </w:r>
            <w:r w:rsidRPr="005F08B5">
              <w:t>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t xml:space="preserve">5.1 </w:t>
            </w:r>
            <w:r w:rsidRPr="00A953F7">
              <w:t>Students will demonstrate multicultural responsiveness through activities in their multicultural and clinical practice.</w:t>
            </w:r>
          </w:p>
        </w:tc>
        <w:tc>
          <w:tcPr>
            <w:tcW w:w="3410" w:type="dxa"/>
          </w:tcPr>
          <w:p w:rsidR="000E2C3A" w:rsidRDefault="000E2C3A" w:rsidP="00DD0491">
            <w:r w:rsidRPr="00A953F7">
              <w:t>Students will demonstrate competency b</w:t>
            </w:r>
            <w:r>
              <w:t>y scoring a 3 or better in the</w:t>
            </w:r>
            <w:r w:rsidRPr="00A953F7">
              <w:t xml:space="preserve"> </w:t>
            </w:r>
            <w:r>
              <w:t xml:space="preserve">multicultural section of their </w:t>
            </w:r>
            <w:r w:rsidRPr="00A953F7">
              <w:t>annual student evaluations.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  <w:tr w:rsidR="000E2C3A" w:rsidTr="000E2C3A">
        <w:trPr>
          <w:cantSplit/>
        </w:trPr>
        <w:tc>
          <w:tcPr>
            <w:tcW w:w="3757" w:type="dxa"/>
          </w:tcPr>
          <w:p w:rsidR="000E2C3A" w:rsidRPr="005F08B5" w:rsidRDefault="000E2C3A" w:rsidP="00DD0491">
            <w:r w:rsidRPr="005F08B5">
              <w:lastRenderedPageBreak/>
              <w:t>5.2 Students will demonstrate their multicultural responsiveness by creating a multicultural statement that describes how students infuses issues of power, privilege, and oppression into their research, teaching, and theoretical/clinical work.</w:t>
            </w:r>
          </w:p>
        </w:tc>
        <w:tc>
          <w:tcPr>
            <w:tcW w:w="3410" w:type="dxa"/>
          </w:tcPr>
          <w:p w:rsidR="000E2C3A" w:rsidRPr="00A953F7" w:rsidRDefault="000E2C3A" w:rsidP="00DD0491">
            <w:r>
              <w:t>S</w:t>
            </w:r>
            <w:r w:rsidRPr="005F08B5">
              <w:t>tudents will successfully defend a multicultural statement during their comprehensive exam</w:t>
            </w:r>
            <w:r>
              <w:t xml:space="preserve"> as evidenced by a score of 2 or better on the multiculturalism portion of their comprehensive exam rubric.</w:t>
            </w:r>
          </w:p>
        </w:tc>
        <w:tc>
          <w:tcPr>
            <w:tcW w:w="771" w:type="dxa"/>
          </w:tcPr>
          <w:p w:rsidR="000E2C3A" w:rsidRDefault="000E2C3A" w:rsidP="00DD0491"/>
        </w:tc>
        <w:tc>
          <w:tcPr>
            <w:tcW w:w="1412" w:type="dxa"/>
          </w:tcPr>
          <w:p w:rsidR="000E2C3A" w:rsidRDefault="000E2C3A" w:rsidP="00DD0491"/>
        </w:tc>
      </w:tr>
    </w:tbl>
    <w:p w:rsidR="000E2C3A" w:rsidRDefault="000E2C3A" w:rsidP="000E2C3A"/>
    <w:sectPr w:rsidR="000E2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3A"/>
    <w:rsid w:val="000E2C3A"/>
    <w:rsid w:val="003D0B25"/>
    <w:rsid w:val="007B021F"/>
    <w:rsid w:val="009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889F"/>
  <w15:chartTrackingRefBased/>
  <w15:docId w15:val="{B36ED944-F282-4CAD-845A-B6AD587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C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E2C3A"/>
    <w:p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C3A"/>
    <w:pPr>
      <w:keepNext/>
      <w:keepLines/>
      <w:spacing w:before="40"/>
      <w:outlineLvl w:val="1"/>
    </w:pPr>
    <w:rPr>
      <w:rFonts w:eastAsiaTheme="majorEastAsi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2C3A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table" w:styleId="TableGrid">
    <w:name w:val="Table Grid"/>
    <w:basedOn w:val="TableNormal"/>
    <w:uiPriority w:val="39"/>
    <w:rsid w:val="000E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2C3A"/>
    <w:rPr>
      <w:rFonts w:ascii="Arial" w:eastAsiaTheme="majorEastAsia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</cp:revision>
  <dcterms:created xsi:type="dcterms:W3CDTF">2018-05-07T14:45:00Z</dcterms:created>
  <dcterms:modified xsi:type="dcterms:W3CDTF">2018-05-07T14:54:00Z</dcterms:modified>
</cp:coreProperties>
</file>